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FE" w:rsidRPr="00D922FE" w:rsidRDefault="00D922FE" w:rsidP="00D922FE">
      <w:pPr>
        <w:pStyle w:val="head"/>
        <w:shd w:val="clear" w:color="auto" w:fill="FFFFFF"/>
        <w:spacing w:line="360" w:lineRule="auto"/>
        <w:jc w:val="center"/>
        <w:rPr>
          <w:rFonts w:ascii="MS Reference Sans Serif" w:hAnsi="MS Reference Sans Serif" w:cs="Arial"/>
          <w:b/>
          <w:bCs/>
          <w:color w:val="000000"/>
        </w:rPr>
      </w:pPr>
      <w:proofErr w:type="spellStart"/>
      <w:proofErr w:type="gramStart"/>
      <w:r>
        <w:rPr>
          <w:rFonts w:ascii="MS Reference Sans Serif" w:hAnsi="MS Reference Sans Serif" w:cs="Arial"/>
          <w:b/>
          <w:bCs/>
          <w:color w:val="000000"/>
        </w:rPr>
        <w:t>Feroke</w:t>
      </w:r>
      <w:proofErr w:type="spellEnd"/>
      <w:r>
        <w:rPr>
          <w:rFonts w:ascii="MS Reference Sans Serif" w:hAnsi="MS Reference Sans Serif" w:cs="Arial"/>
          <w:b/>
          <w:bCs/>
          <w:color w:val="000000"/>
        </w:rPr>
        <w:t xml:space="preserve"> Co-operative Urban Bank Ltd. No.</w:t>
      </w:r>
      <w:proofErr w:type="gramEnd"/>
      <w:r>
        <w:rPr>
          <w:rFonts w:ascii="MS Reference Sans Serif" w:hAnsi="MS Reference Sans Serif" w:cs="Arial"/>
          <w:b/>
          <w:bCs/>
          <w:color w:val="000000"/>
        </w:rPr>
        <w:t xml:space="preserve"> D2640</w:t>
      </w:r>
    </w:p>
    <w:p w:rsidR="00982F3C" w:rsidRPr="00D922FE" w:rsidRDefault="002D0DDA" w:rsidP="00982F3C">
      <w:pPr>
        <w:pStyle w:val="head"/>
        <w:shd w:val="clear" w:color="auto" w:fill="FFFFFF"/>
        <w:spacing w:line="360" w:lineRule="auto"/>
        <w:jc w:val="both"/>
        <w:rPr>
          <w:rFonts w:ascii="MS Reference Sans Serif" w:hAnsi="MS Reference Sans Serif" w:cs="Arial"/>
          <w:b/>
          <w:bCs/>
          <w:color w:val="000000"/>
          <w:sz w:val="20"/>
          <w:szCs w:val="20"/>
        </w:rPr>
      </w:pPr>
      <w:r w:rsidRPr="00D922FE">
        <w:rPr>
          <w:rFonts w:ascii="MS Reference Sans Serif" w:hAnsi="MS Reference Sans Serif" w:cs="Arial"/>
          <w:b/>
          <w:bCs/>
          <w:color w:val="000000"/>
          <w:sz w:val="20"/>
          <w:szCs w:val="20"/>
        </w:rPr>
        <w:t xml:space="preserve">Policy on </w:t>
      </w:r>
      <w:r w:rsidR="00982F3C" w:rsidRPr="00D922FE">
        <w:rPr>
          <w:rFonts w:ascii="MS Reference Sans Serif" w:hAnsi="MS Reference Sans Serif" w:cs="Arial"/>
          <w:b/>
          <w:bCs/>
          <w:color w:val="000000"/>
          <w:sz w:val="20"/>
          <w:szCs w:val="20"/>
        </w:rPr>
        <w:t>Resolution Framework – 2.0</w:t>
      </w:r>
      <w:r w:rsidRPr="00D922FE">
        <w:rPr>
          <w:rFonts w:ascii="MS Reference Sans Serif" w:hAnsi="MS Reference Sans Serif" w:cs="Arial"/>
          <w:b/>
          <w:bCs/>
          <w:color w:val="000000"/>
          <w:sz w:val="20"/>
          <w:szCs w:val="20"/>
        </w:rPr>
        <w:t>-</w:t>
      </w:r>
      <w:r w:rsidR="00982F3C" w:rsidRPr="00D922FE">
        <w:rPr>
          <w:rFonts w:ascii="MS Reference Sans Serif" w:hAnsi="MS Reference Sans Serif" w:cs="Arial"/>
          <w:b/>
          <w:bCs/>
          <w:color w:val="000000"/>
          <w:sz w:val="20"/>
          <w:szCs w:val="20"/>
        </w:rPr>
        <w:t xml:space="preserve"> Resolution of Covid-19 related stress of Individuals and Small Businesses</w:t>
      </w:r>
    </w:p>
    <w:p w:rsidR="00982F3C" w:rsidRPr="00D922FE" w:rsidRDefault="00982F3C"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As per this </w:t>
      </w:r>
      <w:r w:rsidR="002D0DDA" w:rsidRPr="00D922FE">
        <w:rPr>
          <w:rFonts w:ascii="MS Reference Sans Serif" w:hAnsi="MS Reference Sans Serif" w:cs="Arial"/>
          <w:color w:val="000000"/>
          <w:sz w:val="20"/>
          <w:szCs w:val="20"/>
        </w:rPr>
        <w:t>policy</w:t>
      </w:r>
      <w:r w:rsidRPr="00D922FE">
        <w:rPr>
          <w:rFonts w:ascii="MS Reference Sans Serif" w:hAnsi="MS Reference Sans Serif" w:cs="Arial"/>
          <w:color w:val="000000"/>
          <w:sz w:val="20"/>
          <w:szCs w:val="20"/>
        </w:rPr>
        <w:t xml:space="preserve"> the credit exposures are classifying as Standard upon implementation of the resolution </w:t>
      </w:r>
      <w:r w:rsidR="002D0DDA" w:rsidRPr="00D922FE">
        <w:rPr>
          <w:rFonts w:ascii="MS Reference Sans Serif" w:hAnsi="MS Reference Sans Serif" w:cs="Arial"/>
          <w:color w:val="000000"/>
          <w:sz w:val="20"/>
          <w:szCs w:val="20"/>
        </w:rPr>
        <w:t xml:space="preserve">Framework 2.0 </w:t>
      </w:r>
      <w:r w:rsidRPr="00D922FE">
        <w:rPr>
          <w:rFonts w:ascii="MS Reference Sans Serif" w:hAnsi="MS Reference Sans Serif" w:cs="Arial"/>
          <w:color w:val="000000"/>
          <w:sz w:val="20"/>
          <w:szCs w:val="20"/>
        </w:rPr>
        <w:t>subject to the conditions specified hereafter.</w:t>
      </w:r>
    </w:p>
    <w:p w:rsidR="0086207C" w:rsidRPr="00D922FE" w:rsidRDefault="00B2579E" w:rsidP="0086207C">
      <w:pPr>
        <w:pStyle w:val="NormalWeb"/>
        <w:shd w:val="clear" w:color="auto" w:fill="FFFFFF"/>
        <w:spacing w:line="360" w:lineRule="auto"/>
        <w:jc w:val="both"/>
        <w:rPr>
          <w:rFonts w:ascii="MS Reference Sans Serif" w:hAnsi="MS Reference Sans Serif" w:cs="Arial"/>
          <w:b/>
          <w:color w:val="000000"/>
          <w:sz w:val="20"/>
          <w:szCs w:val="20"/>
        </w:rPr>
      </w:pPr>
      <w:r w:rsidRPr="00D922FE">
        <w:rPr>
          <w:rFonts w:ascii="MS Reference Sans Serif" w:hAnsi="MS Reference Sans Serif" w:cs="Arial"/>
          <w:b/>
          <w:color w:val="000000"/>
          <w:sz w:val="20"/>
          <w:szCs w:val="20"/>
        </w:rPr>
        <w:t xml:space="preserve">A. </w:t>
      </w:r>
      <w:r w:rsidRPr="00D922FE">
        <w:rPr>
          <w:rFonts w:ascii="MS Reference Sans Serif" w:hAnsi="MS Reference Sans Serif" w:cs="Arial"/>
          <w:b/>
          <w:color w:val="000000"/>
          <w:sz w:val="20"/>
          <w:szCs w:val="20"/>
        </w:rPr>
        <w:tab/>
      </w:r>
      <w:r w:rsidR="0086207C" w:rsidRPr="00D922FE">
        <w:rPr>
          <w:rFonts w:ascii="MS Reference Sans Serif" w:hAnsi="MS Reference Sans Serif" w:cs="Arial"/>
          <w:b/>
          <w:color w:val="000000"/>
          <w:sz w:val="20"/>
          <w:szCs w:val="20"/>
        </w:rPr>
        <w:t>The facility is available for maximum 2 years with following conditions:</w:t>
      </w:r>
    </w:p>
    <w:p w:rsidR="0086207C" w:rsidRPr="00D922FE" w:rsidRDefault="0086207C" w:rsidP="0086207C">
      <w:pPr>
        <w:pStyle w:val="NormalWeb"/>
        <w:numPr>
          <w:ilvl w:val="0"/>
          <w:numId w:val="4"/>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The Borrower who should not have availed of any resolution in terms of the Resolution Framework – 1, or </w:t>
      </w:r>
    </w:p>
    <w:p w:rsidR="007E47C3" w:rsidRPr="00D922FE" w:rsidRDefault="0086207C" w:rsidP="0086207C">
      <w:pPr>
        <w:pStyle w:val="NormalWeb"/>
        <w:numPr>
          <w:ilvl w:val="0"/>
          <w:numId w:val="4"/>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If availed of the Resolution Framework – 1.0, and where the resolution plans had permitted no moratoria or moratoria of less than two years and / or extension of residual tenor by a period of less than two years, </w:t>
      </w:r>
      <w:r w:rsidR="007E47C3" w:rsidRPr="00D922FE">
        <w:rPr>
          <w:rFonts w:ascii="MS Reference Sans Serif" w:hAnsi="MS Reference Sans Serif" w:cs="Arial"/>
          <w:color w:val="000000"/>
          <w:sz w:val="20"/>
          <w:szCs w:val="20"/>
        </w:rPr>
        <w:t xml:space="preserve">the Bank shall </w:t>
      </w:r>
      <w:r w:rsidRPr="00D922FE">
        <w:rPr>
          <w:rFonts w:ascii="MS Reference Sans Serif" w:hAnsi="MS Reference Sans Serif" w:cs="Arial"/>
          <w:color w:val="000000"/>
          <w:sz w:val="20"/>
          <w:szCs w:val="20"/>
        </w:rPr>
        <w:t>permitted to use this window to modify such plans</w:t>
      </w:r>
      <w:r w:rsidRPr="00D922FE">
        <w:rPr>
          <w:rStyle w:val="head1"/>
          <w:rFonts w:ascii="MS Reference Sans Serif" w:hAnsi="MS Reference Sans Serif" w:cs="Arial"/>
          <w:b/>
          <w:bCs/>
          <w:color w:val="000000"/>
          <w:sz w:val="20"/>
          <w:szCs w:val="20"/>
        </w:rPr>
        <w:t> only</w:t>
      </w:r>
      <w:r w:rsidRPr="00D922FE">
        <w:rPr>
          <w:rFonts w:ascii="MS Reference Sans Serif" w:hAnsi="MS Reference Sans Serif" w:cs="Arial"/>
          <w:color w:val="000000"/>
          <w:sz w:val="20"/>
          <w:szCs w:val="20"/>
        </w:rPr>
        <w:t xml:space="preserve"> to the extent of increasing the period of moratorium / extension of residual tenor subject to the caps </w:t>
      </w:r>
      <w:r w:rsidR="007E47C3" w:rsidRPr="00D922FE">
        <w:rPr>
          <w:rFonts w:ascii="MS Reference Sans Serif" w:hAnsi="MS Reference Sans Serif" w:cs="Arial"/>
          <w:color w:val="000000"/>
          <w:sz w:val="20"/>
          <w:szCs w:val="20"/>
        </w:rPr>
        <w:t xml:space="preserve">of two years </w:t>
      </w:r>
      <w:r w:rsidRPr="00D922FE">
        <w:rPr>
          <w:rFonts w:ascii="MS Reference Sans Serif" w:hAnsi="MS Reference Sans Serif" w:cs="Arial"/>
          <w:color w:val="000000"/>
          <w:sz w:val="20"/>
          <w:szCs w:val="20"/>
        </w:rPr>
        <w:t xml:space="preserve">and the consequent changes necessary in the terms of the loan for implementing such extension. </w:t>
      </w:r>
    </w:p>
    <w:p w:rsidR="0086207C" w:rsidRPr="00D922FE" w:rsidRDefault="007E47C3" w:rsidP="007E47C3">
      <w:pPr>
        <w:pStyle w:val="NormalWeb"/>
        <w:shd w:val="clear" w:color="auto" w:fill="FFFFFF"/>
        <w:spacing w:line="360" w:lineRule="auto"/>
        <w:ind w:left="360"/>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Note: </w:t>
      </w:r>
      <w:r w:rsidR="0086207C" w:rsidRPr="00D922FE">
        <w:rPr>
          <w:rFonts w:ascii="MS Reference Sans Serif" w:hAnsi="MS Reference Sans Serif" w:cs="Arial"/>
          <w:color w:val="000000"/>
          <w:sz w:val="20"/>
          <w:szCs w:val="20"/>
        </w:rPr>
        <w:t>The overall caps on moratorium and / or extension of residual tenor granted under Resolution Framework – 1.0 and this framework combined, shall be two years.</w:t>
      </w:r>
    </w:p>
    <w:p w:rsidR="00982F3C" w:rsidRPr="00D922FE" w:rsidRDefault="00B2579E"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b/>
          <w:color w:val="000000"/>
          <w:sz w:val="20"/>
          <w:szCs w:val="20"/>
        </w:rPr>
        <w:t>B.</w:t>
      </w:r>
      <w:r w:rsidRPr="00D922FE">
        <w:rPr>
          <w:rFonts w:ascii="MS Reference Sans Serif" w:hAnsi="MS Reference Sans Serif" w:cs="Arial"/>
          <w:b/>
          <w:color w:val="000000"/>
          <w:sz w:val="20"/>
          <w:szCs w:val="20"/>
        </w:rPr>
        <w:tab/>
      </w:r>
      <w:r w:rsidR="00982F3C" w:rsidRPr="00D922FE">
        <w:rPr>
          <w:rFonts w:ascii="MS Reference Sans Serif" w:hAnsi="MS Reference Sans Serif" w:cs="Arial"/>
          <w:b/>
          <w:color w:val="000000"/>
          <w:sz w:val="20"/>
          <w:szCs w:val="20"/>
        </w:rPr>
        <w:t>Eligibility</w:t>
      </w:r>
      <w:r w:rsidR="00982F3C" w:rsidRPr="00D922FE">
        <w:rPr>
          <w:rFonts w:ascii="MS Reference Sans Serif" w:hAnsi="MS Reference Sans Serif" w:cs="Arial"/>
          <w:color w:val="000000"/>
          <w:sz w:val="20"/>
          <w:szCs w:val="20"/>
        </w:rPr>
        <w:t xml:space="preserve">: </w:t>
      </w:r>
      <w:r w:rsidR="002D0DDA" w:rsidRPr="00D922FE">
        <w:rPr>
          <w:rFonts w:ascii="MS Reference Sans Serif" w:hAnsi="MS Reference Sans Serif" w:cs="Arial"/>
          <w:color w:val="000000"/>
          <w:sz w:val="20"/>
          <w:szCs w:val="20"/>
        </w:rPr>
        <w:t>The Borrower whose credit facilit</w:t>
      </w:r>
      <w:r w:rsidR="0086207C" w:rsidRPr="00D922FE">
        <w:rPr>
          <w:rFonts w:ascii="MS Reference Sans Serif" w:hAnsi="MS Reference Sans Serif" w:cs="Arial"/>
          <w:color w:val="000000"/>
          <w:sz w:val="20"/>
          <w:szCs w:val="20"/>
        </w:rPr>
        <w:t>y</w:t>
      </w:r>
      <w:r w:rsidR="002D0DDA" w:rsidRPr="00D922FE">
        <w:rPr>
          <w:rFonts w:ascii="MS Reference Sans Serif" w:hAnsi="MS Reference Sans Serif" w:cs="Arial"/>
          <w:color w:val="000000"/>
          <w:sz w:val="20"/>
          <w:szCs w:val="20"/>
        </w:rPr>
        <w:t xml:space="preserve"> was classified as Standard as on </w:t>
      </w:r>
      <w:r w:rsidR="002D0DDA" w:rsidRPr="00D922FE">
        <w:rPr>
          <w:rFonts w:ascii="MS Reference Sans Serif" w:hAnsi="MS Reference Sans Serif" w:cs="Arial"/>
          <w:b/>
          <w:color w:val="000000"/>
          <w:sz w:val="20"/>
          <w:szCs w:val="20"/>
        </w:rPr>
        <w:t>March 31, 2021</w:t>
      </w:r>
      <w:r w:rsidR="0086207C" w:rsidRPr="00D922FE">
        <w:rPr>
          <w:rFonts w:ascii="MS Reference Sans Serif" w:hAnsi="MS Reference Sans Serif" w:cs="Arial"/>
          <w:b/>
          <w:color w:val="000000"/>
          <w:sz w:val="20"/>
          <w:szCs w:val="20"/>
        </w:rPr>
        <w:t xml:space="preserve"> and having the following conditions:</w:t>
      </w:r>
    </w:p>
    <w:p w:rsidR="00982F3C" w:rsidRPr="00D922FE" w:rsidRDefault="00982F3C" w:rsidP="00982F3C">
      <w:pPr>
        <w:pStyle w:val="NormalWeb"/>
        <w:numPr>
          <w:ilvl w:val="0"/>
          <w:numId w:val="1"/>
        </w:numPr>
        <w:shd w:val="clear" w:color="auto" w:fill="FFFFFF"/>
        <w:tabs>
          <w:tab w:val="clear" w:pos="2160"/>
          <w:tab w:val="num" w:pos="426"/>
        </w:tabs>
        <w:spacing w:line="360" w:lineRule="auto"/>
        <w:ind w:left="0" w:firstLine="0"/>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Individuals who have availed of personal loans.</w:t>
      </w:r>
    </w:p>
    <w:p w:rsidR="00982F3C" w:rsidRPr="00D922FE" w:rsidRDefault="00982F3C" w:rsidP="00982F3C">
      <w:pPr>
        <w:pStyle w:val="NormalWeb"/>
        <w:numPr>
          <w:ilvl w:val="0"/>
          <w:numId w:val="1"/>
        </w:numPr>
        <w:shd w:val="clear" w:color="auto" w:fill="FFFFFF"/>
        <w:tabs>
          <w:tab w:val="clear" w:pos="2160"/>
          <w:tab w:val="num" w:pos="426"/>
        </w:tabs>
        <w:spacing w:line="360" w:lineRule="auto"/>
        <w:ind w:left="0" w:firstLine="0"/>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Individuals who have availed of loans and advances for business purposes and have aggregate exposure of not more than Rs.25 </w:t>
      </w:r>
      <w:r w:rsidR="0086207C" w:rsidRPr="00D922FE">
        <w:rPr>
          <w:rFonts w:ascii="MS Reference Sans Serif" w:hAnsi="MS Reference Sans Serif" w:cs="Arial"/>
          <w:color w:val="000000"/>
          <w:sz w:val="20"/>
          <w:szCs w:val="20"/>
        </w:rPr>
        <w:t>Cr</w:t>
      </w:r>
      <w:r w:rsidRPr="00D922FE">
        <w:rPr>
          <w:rFonts w:ascii="MS Reference Sans Serif" w:hAnsi="MS Reference Sans Serif" w:cs="Arial"/>
          <w:color w:val="000000"/>
          <w:sz w:val="20"/>
          <w:szCs w:val="20"/>
        </w:rPr>
        <w:t xml:space="preserve"> as on March 31, 2021.</w:t>
      </w:r>
    </w:p>
    <w:p w:rsidR="00982F3C" w:rsidRPr="00D922FE" w:rsidRDefault="00982F3C" w:rsidP="00982F3C">
      <w:pPr>
        <w:pStyle w:val="NormalWeb"/>
        <w:numPr>
          <w:ilvl w:val="0"/>
          <w:numId w:val="1"/>
        </w:numPr>
        <w:shd w:val="clear" w:color="auto" w:fill="FFFFFF"/>
        <w:tabs>
          <w:tab w:val="clear" w:pos="2160"/>
          <w:tab w:val="num" w:pos="426"/>
        </w:tabs>
        <w:spacing w:line="360" w:lineRule="auto"/>
        <w:ind w:left="0" w:firstLine="0"/>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Small businesses, including those engaged in retail and wholesale trade, other than those classified as micro, small and medium enterprises as on March 31, 2021, and have aggregate e</w:t>
      </w:r>
      <w:r w:rsidR="0086207C" w:rsidRPr="00D922FE">
        <w:rPr>
          <w:rFonts w:ascii="MS Reference Sans Serif" w:hAnsi="MS Reference Sans Serif" w:cs="Arial"/>
          <w:color w:val="000000"/>
          <w:sz w:val="20"/>
          <w:szCs w:val="20"/>
        </w:rPr>
        <w:t>xposure of not more than Rs.25 Cr</w:t>
      </w:r>
      <w:r w:rsidRPr="00D922FE">
        <w:rPr>
          <w:rFonts w:ascii="MS Reference Sans Serif" w:hAnsi="MS Reference Sans Serif" w:cs="Arial"/>
          <w:color w:val="000000"/>
          <w:sz w:val="20"/>
          <w:szCs w:val="20"/>
        </w:rPr>
        <w:t xml:space="preserve"> as on March 31, 2021.</w:t>
      </w:r>
    </w:p>
    <w:p w:rsidR="00982F3C" w:rsidRDefault="00982F3C"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6. Any resolution plan implemented in breach of the stipulations of this </w:t>
      </w:r>
      <w:r w:rsidR="007E47C3" w:rsidRPr="00D922FE">
        <w:rPr>
          <w:rFonts w:ascii="MS Reference Sans Serif" w:hAnsi="MS Reference Sans Serif" w:cs="Arial"/>
          <w:color w:val="000000"/>
          <w:sz w:val="20"/>
          <w:szCs w:val="20"/>
        </w:rPr>
        <w:t xml:space="preserve">policy </w:t>
      </w:r>
      <w:r w:rsidRPr="00D922FE">
        <w:rPr>
          <w:rFonts w:ascii="MS Reference Sans Serif" w:hAnsi="MS Reference Sans Serif" w:cs="Arial"/>
          <w:color w:val="000000"/>
          <w:sz w:val="20"/>
          <w:szCs w:val="20"/>
        </w:rPr>
        <w:t xml:space="preserve">shall be fully governed by </w:t>
      </w:r>
      <w:r w:rsidR="007E47C3" w:rsidRPr="00D922FE">
        <w:rPr>
          <w:rFonts w:ascii="MS Reference Sans Serif" w:hAnsi="MS Reference Sans Serif" w:cs="Arial"/>
          <w:color w:val="000000"/>
          <w:sz w:val="20"/>
          <w:szCs w:val="20"/>
        </w:rPr>
        <w:t>MC on IRAC Norms-UCBs dated July 1, 2015.</w:t>
      </w:r>
    </w:p>
    <w:p w:rsidR="00D922FE" w:rsidRDefault="00D922FE" w:rsidP="00982F3C">
      <w:pPr>
        <w:pStyle w:val="NormalWeb"/>
        <w:shd w:val="clear" w:color="auto" w:fill="FFFFFF"/>
        <w:spacing w:line="360" w:lineRule="auto"/>
        <w:jc w:val="both"/>
        <w:rPr>
          <w:rFonts w:ascii="MS Reference Sans Serif" w:hAnsi="MS Reference Sans Serif" w:cs="Arial"/>
          <w:color w:val="000000"/>
          <w:sz w:val="20"/>
          <w:szCs w:val="20"/>
        </w:rPr>
      </w:pPr>
    </w:p>
    <w:p w:rsidR="00D922FE" w:rsidRPr="00D922FE" w:rsidRDefault="00D922FE" w:rsidP="00982F3C">
      <w:pPr>
        <w:pStyle w:val="NormalWeb"/>
        <w:shd w:val="clear" w:color="auto" w:fill="FFFFFF"/>
        <w:spacing w:line="360" w:lineRule="auto"/>
        <w:jc w:val="both"/>
        <w:rPr>
          <w:rFonts w:ascii="MS Reference Sans Serif" w:hAnsi="MS Reference Sans Serif" w:cs="Arial"/>
          <w:color w:val="000000"/>
          <w:sz w:val="20"/>
          <w:szCs w:val="20"/>
        </w:rPr>
      </w:pPr>
    </w:p>
    <w:p w:rsidR="00982F3C" w:rsidRPr="00D922FE" w:rsidRDefault="00B2579E" w:rsidP="00982F3C">
      <w:pPr>
        <w:pStyle w:val="head"/>
        <w:shd w:val="clear" w:color="auto" w:fill="FFFFFF"/>
        <w:spacing w:line="360" w:lineRule="auto"/>
        <w:jc w:val="both"/>
        <w:rPr>
          <w:rFonts w:ascii="MS Reference Sans Serif" w:hAnsi="MS Reference Sans Serif" w:cs="Arial"/>
          <w:b/>
          <w:bCs/>
          <w:color w:val="000000"/>
          <w:sz w:val="20"/>
          <w:szCs w:val="20"/>
        </w:rPr>
      </w:pPr>
      <w:r w:rsidRPr="00D922FE">
        <w:rPr>
          <w:rFonts w:ascii="MS Reference Sans Serif" w:hAnsi="MS Reference Sans Serif" w:cs="Arial"/>
          <w:b/>
          <w:bCs/>
          <w:color w:val="000000"/>
          <w:sz w:val="20"/>
          <w:szCs w:val="20"/>
        </w:rPr>
        <w:lastRenderedPageBreak/>
        <w:t>C.</w:t>
      </w:r>
      <w:r w:rsidRPr="00D922FE">
        <w:rPr>
          <w:rFonts w:ascii="MS Reference Sans Serif" w:hAnsi="MS Reference Sans Serif" w:cs="Arial"/>
          <w:b/>
          <w:bCs/>
          <w:color w:val="000000"/>
          <w:sz w:val="20"/>
          <w:szCs w:val="20"/>
        </w:rPr>
        <w:tab/>
      </w:r>
      <w:r w:rsidR="00982F3C" w:rsidRPr="00D922FE">
        <w:rPr>
          <w:rFonts w:ascii="MS Reference Sans Serif" w:hAnsi="MS Reference Sans Serif" w:cs="Arial"/>
          <w:b/>
          <w:bCs/>
          <w:color w:val="000000"/>
          <w:sz w:val="20"/>
          <w:szCs w:val="20"/>
        </w:rPr>
        <w:t>Invocation of resolution process</w:t>
      </w:r>
    </w:p>
    <w:p w:rsidR="008D5B65" w:rsidRPr="00D922FE" w:rsidRDefault="008D5B65" w:rsidP="008D5B65">
      <w:pPr>
        <w:pStyle w:val="NormalWeb"/>
        <w:numPr>
          <w:ilvl w:val="0"/>
          <w:numId w:val="2"/>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Receive the application for </w:t>
      </w:r>
      <w:r w:rsidR="00982F3C" w:rsidRPr="00D922FE">
        <w:rPr>
          <w:rFonts w:ascii="MS Reference Sans Serif" w:hAnsi="MS Reference Sans Serif" w:cs="Arial"/>
          <w:color w:val="000000"/>
          <w:sz w:val="20"/>
          <w:szCs w:val="20"/>
        </w:rPr>
        <w:t xml:space="preserve">resolution process </w:t>
      </w:r>
      <w:r w:rsidRPr="00D922FE">
        <w:rPr>
          <w:rFonts w:ascii="MS Reference Sans Serif" w:hAnsi="MS Reference Sans Serif" w:cs="Arial"/>
          <w:color w:val="000000"/>
          <w:sz w:val="20"/>
          <w:szCs w:val="20"/>
        </w:rPr>
        <w:t>for invocation of the resolution.</w:t>
      </w:r>
    </w:p>
    <w:p w:rsidR="008D5B65" w:rsidRPr="00D922FE" w:rsidRDefault="008D5B65" w:rsidP="008D5B65">
      <w:pPr>
        <w:pStyle w:val="NormalWeb"/>
        <w:numPr>
          <w:ilvl w:val="0"/>
          <w:numId w:val="2"/>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Assess the eligibility of the borrower </w:t>
      </w:r>
      <w:r w:rsidR="00982F3C" w:rsidRPr="00D922FE">
        <w:rPr>
          <w:rFonts w:ascii="MS Reference Sans Serif" w:hAnsi="MS Reference Sans Serif" w:cs="Arial"/>
          <w:color w:val="000000"/>
          <w:sz w:val="20"/>
          <w:szCs w:val="20"/>
        </w:rPr>
        <w:t>under this window</w:t>
      </w:r>
      <w:r w:rsidRPr="00D922FE">
        <w:rPr>
          <w:rFonts w:ascii="MS Reference Sans Serif" w:hAnsi="MS Reference Sans Serif" w:cs="Arial"/>
          <w:color w:val="000000"/>
          <w:sz w:val="20"/>
          <w:szCs w:val="20"/>
        </w:rPr>
        <w:t>.</w:t>
      </w:r>
    </w:p>
    <w:p w:rsidR="007E47C3" w:rsidRPr="00D922FE" w:rsidRDefault="007E47C3" w:rsidP="008D5B65">
      <w:pPr>
        <w:pStyle w:val="NormalWeb"/>
        <w:numPr>
          <w:ilvl w:val="0"/>
          <w:numId w:val="2"/>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The borrower agreed to proceed with condition of resolution.</w:t>
      </w:r>
    </w:p>
    <w:p w:rsidR="00982F3C" w:rsidRPr="00D922FE" w:rsidRDefault="007E47C3" w:rsidP="00F20BB4">
      <w:pPr>
        <w:pStyle w:val="NormalWeb"/>
        <w:numPr>
          <w:ilvl w:val="0"/>
          <w:numId w:val="2"/>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Date of the agreement for the resolution process is called </w:t>
      </w:r>
      <w:r w:rsidR="00F4078A" w:rsidRPr="00D922FE">
        <w:rPr>
          <w:rFonts w:ascii="MS Reference Sans Serif" w:hAnsi="MS Reference Sans Serif" w:cs="Arial"/>
          <w:color w:val="000000"/>
          <w:sz w:val="20"/>
          <w:szCs w:val="20"/>
        </w:rPr>
        <w:t xml:space="preserve">date of </w:t>
      </w:r>
      <w:r w:rsidR="008D5B65" w:rsidRPr="00D922FE">
        <w:rPr>
          <w:rFonts w:ascii="MS Reference Sans Serif" w:hAnsi="MS Reference Sans Serif" w:cs="Arial"/>
          <w:color w:val="000000"/>
          <w:sz w:val="20"/>
          <w:szCs w:val="20"/>
        </w:rPr>
        <w:t>I</w:t>
      </w:r>
      <w:r w:rsidR="00982F3C" w:rsidRPr="00D922FE">
        <w:rPr>
          <w:rFonts w:ascii="MS Reference Sans Serif" w:hAnsi="MS Reference Sans Serif" w:cs="Arial"/>
          <w:color w:val="000000"/>
          <w:sz w:val="20"/>
          <w:szCs w:val="20"/>
        </w:rPr>
        <w:t>nvo</w:t>
      </w:r>
      <w:r w:rsidR="00F4078A" w:rsidRPr="00D922FE">
        <w:rPr>
          <w:rFonts w:ascii="MS Reference Sans Serif" w:hAnsi="MS Reference Sans Serif" w:cs="Arial"/>
          <w:color w:val="000000"/>
          <w:sz w:val="20"/>
          <w:szCs w:val="20"/>
        </w:rPr>
        <w:t>cation</w:t>
      </w:r>
      <w:r w:rsidR="00982F3C" w:rsidRPr="00D922FE">
        <w:rPr>
          <w:rFonts w:ascii="MS Reference Sans Serif" w:hAnsi="MS Reference Sans Serif" w:cs="Arial"/>
          <w:color w:val="000000"/>
          <w:sz w:val="20"/>
          <w:szCs w:val="20"/>
        </w:rPr>
        <w:t xml:space="preserve"> </w:t>
      </w:r>
      <w:r w:rsidR="00F4078A" w:rsidRPr="00D922FE">
        <w:rPr>
          <w:rFonts w:ascii="MS Reference Sans Serif" w:hAnsi="MS Reference Sans Serif" w:cs="Arial"/>
          <w:color w:val="000000"/>
          <w:sz w:val="20"/>
          <w:szCs w:val="20"/>
        </w:rPr>
        <w:t xml:space="preserve">which should be </w:t>
      </w:r>
      <w:r w:rsidR="00F20BB4" w:rsidRPr="00D922FE">
        <w:rPr>
          <w:rFonts w:ascii="MS Reference Sans Serif" w:hAnsi="MS Reference Sans Serif" w:cs="Arial"/>
          <w:color w:val="000000"/>
          <w:sz w:val="20"/>
          <w:szCs w:val="20"/>
        </w:rPr>
        <w:t>within 30 days of receipts of application</w:t>
      </w:r>
      <w:proofErr w:type="gramStart"/>
      <w:r w:rsidR="00F20BB4" w:rsidRPr="00D922FE">
        <w:rPr>
          <w:rFonts w:ascii="MS Reference Sans Serif" w:hAnsi="MS Reference Sans Serif" w:cs="Arial"/>
          <w:color w:val="000000"/>
          <w:sz w:val="20"/>
          <w:szCs w:val="20"/>
        </w:rPr>
        <w:t>.</w:t>
      </w:r>
      <w:r w:rsidR="00982F3C" w:rsidRPr="00D922FE">
        <w:rPr>
          <w:rFonts w:ascii="MS Reference Sans Serif" w:hAnsi="MS Reference Sans Serif" w:cs="Arial"/>
          <w:color w:val="000000"/>
          <w:sz w:val="20"/>
          <w:szCs w:val="20"/>
        </w:rPr>
        <w:t>.</w:t>
      </w:r>
      <w:proofErr w:type="gramEnd"/>
    </w:p>
    <w:p w:rsidR="00982F3C" w:rsidRPr="00D922FE" w:rsidRDefault="00F4078A"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 xml:space="preserve">Note: </w:t>
      </w:r>
      <w:r w:rsidR="00F20BB4" w:rsidRPr="00D922FE">
        <w:rPr>
          <w:rFonts w:ascii="MS Reference Sans Serif" w:hAnsi="MS Reference Sans Serif" w:cs="Arial"/>
          <w:color w:val="000000"/>
          <w:sz w:val="20"/>
          <w:szCs w:val="20"/>
        </w:rPr>
        <w:t xml:space="preserve">Last date of invocation: </w:t>
      </w:r>
      <w:r w:rsidR="00982F3C" w:rsidRPr="00D922FE">
        <w:rPr>
          <w:rFonts w:ascii="MS Reference Sans Serif" w:hAnsi="MS Reference Sans Serif" w:cs="Arial"/>
          <w:color w:val="000000"/>
          <w:sz w:val="20"/>
          <w:szCs w:val="20"/>
        </w:rPr>
        <w:t>September 30, 2021.</w:t>
      </w:r>
    </w:p>
    <w:p w:rsidR="00982F3C" w:rsidRPr="00D922FE" w:rsidRDefault="00B2579E" w:rsidP="00982F3C">
      <w:pPr>
        <w:pStyle w:val="head"/>
        <w:shd w:val="clear" w:color="auto" w:fill="FFFFFF"/>
        <w:spacing w:line="360" w:lineRule="auto"/>
        <w:jc w:val="both"/>
        <w:rPr>
          <w:rFonts w:ascii="MS Reference Sans Serif" w:hAnsi="MS Reference Sans Serif" w:cs="Arial"/>
          <w:b/>
          <w:bCs/>
          <w:color w:val="000000"/>
          <w:sz w:val="20"/>
          <w:szCs w:val="20"/>
        </w:rPr>
      </w:pPr>
      <w:r w:rsidRPr="00D922FE">
        <w:rPr>
          <w:rFonts w:ascii="MS Reference Sans Serif" w:hAnsi="MS Reference Sans Serif" w:cs="Arial"/>
          <w:b/>
          <w:bCs/>
          <w:color w:val="000000"/>
          <w:sz w:val="20"/>
          <w:szCs w:val="20"/>
        </w:rPr>
        <w:t>D.</w:t>
      </w:r>
      <w:r w:rsidRPr="00D922FE">
        <w:rPr>
          <w:rFonts w:ascii="MS Reference Sans Serif" w:hAnsi="MS Reference Sans Serif" w:cs="Arial"/>
          <w:b/>
          <w:bCs/>
          <w:color w:val="000000"/>
          <w:sz w:val="20"/>
          <w:szCs w:val="20"/>
        </w:rPr>
        <w:tab/>
      </w:r>
      <w:r w:rsidR="00982F3C" w:rsidRPr="00D922FE">
        <w:rPr>
          <w:rFonts w:ascii="MS Reference Sans Serif" w:hAnsi="MS Reference Sans Serif" w:cs="Arial"/>
          <w:b/>
          <w:bCs/>
          <w:color w:val="000000"/>
          <w:sz w:val="20"/>
          <w:szCs w:val="20"/>
        </w:rPr>
        <w:t>Permitted features of resolution plans and implementation</w:t>
      </w:r>
    </w:p>
    <w:p w:rsidR="00F20BB4" w:rsidRPr="00D922FE" w:rsidRDefault="00F20BB4" w:rsidP="00982F3C">
      <w:pPr>
        <w:pStyle w:val="NormalWeb"/>
        <w:shd w:val="clear" w:color="auto" w:fill="FFFFFF"/>
        <w:spacing w:line="360" w:lineRule="auto"/>
        <w:jc w:val="both"/>
        <w:rPr>
          <w:rFonts w:ascii="MS Reference Sans Serif" w:hAnsi="MS Reference Sans Serif" w:cs="Arial"/>
          <w:b/>
          <w:color w:val="000000"/>
          <w:sz w:val="20"/>
          <w:szCs w:val="20"/>
        </w:rPr>
      </w:pPr>
      <w:r w:rsidRPr="00D922FE">
        <w:rPr>
          <w:rFonts w:ascii="MS Reference Sans Serif" w:hAnsi="MS Reference Sans Serif" w:cs="Arial"/>
          <w:b/>
          <w:color w:val="000000"/>
          <w:sz w:val="20"/>
          <w:szCs w:val="20"/>
        </w:rPr>
        <w:t xml:space="preserve">Resolution plan: </w:t>
      </w:r>
    </w:p>
    <w:p w:rsidR="00F20BB4" w:rsidRPr="00D922FE" w:rsidRDefault="00F20BB4" w:rsidP="00F20BB4">
      <w:pPr>
        <w:pStyle w:val="NormalWeb"/>
        <w:numPr>
          <w:ilvl w:val="0"/>
          <w:numId w:val="3"/>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R</w:t>
      </w:r>
      <w:r w:rsidR="00982F3C" w:rsidRPr="00D922FE">
        <w:rPr>
          <w:rFonts w:ascii="MS Reference Sans Serif" w:hAnsi="MS Reference Sans Serif" w:cs="Arial"/>
          <w:color w:val="000000"/>
          <w:sz w:val="20"/>
          <w:szCs w:val="20"/>
        </w:rPr>
        <w:t xml:space="preserve">escheduling of payments, </w:t>
      </w:r>
    </w:p>
    <w:p w:rsidR="00F20BB4" w:rsidRPr="00D922FE" w:rsidRDefault="00F20BB4" w:rsidP="00F20BB4">
      <w:pPr>
        <w:pStyle w:val="NormalWeb"/>
        <w:numPr>
          <w:ilvl w:val="0"/>
          <w:numId w:val="3"/>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C</w:t>
      </w:r>
      <w:r w:rsidR="00982F3C" w:rsidRPr="00D922FE">
        <w:rPr>
          <w:rFonts w:ascii="MS Reference Sans Serif" w:hAnsi="MS Reference Sans Serif" w:cs="Arial"/>
          <w:color w:val="000000"/>
          <w:sz w:val="20"/>
          <w:szCs w:val="20"/>
        </w:rPr>
        <w:t>onversion of any interest accrued or to be accrued into another credit facility</w:t>
      </w:r>
    </w:p>
    <w:p w:rsidR="00F20BB4" w:rsidRPr="00D922FE" w:rsidRDefault="00F20BB4" w:rsidP="00F20BB4">
      <w:pPr>
        <w:pStyle w:val="NormalWeb"/>
        <w:numPr>
          <w:ilvl w:val="0"/>
          <w:numId w:val="3"/>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R</w:t>
      </w:r>
      <w:r w:rsidR="00982F3C" w:rsidRPr="00D922FE">
        <w:rPr>
          <w:rFonts w:ascii="MS Reference Sans Serif" w:hAnsi="MS Reference Sans Serif" w:cs="Arial"/>
          <w:color w:val="000000"/>
          <w:sz w:val="20"/>
          <w:szCs w:val="20"/>
        </w:rPr>
        <w:t xml:space="preserve">evisions in working capital sanctions, </w:t>
      </w:r>
    </w:p>
    <w:p w:rsidR="00982F3C" w:rsidRPr="00D922FE" w:rsidRDefault="00F20BB4" w:rsidP="00F20BB4">
      <w:pPr>
        <w:pStyle w:val="NormalWeb"/>
        <w:numPr>
          <w:ilvl w:val="0"/>
          <w:numId w:val="3"/>
        </w:numPr>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G</w:t>
      </w:r>
      <w:r w:rsidR="00982F3C" w:rsidRPr="00D922FE">
        <w:rPr>
          <w:rFonts w:ascii="MS Reference Sans Serif" w:hAnsi="MS Reference Sans Serif" w:cs="Arial"/>
          <w:color w:val="000000"/>
          <w:sz w:val="20"/>
          <w:szCs w:val="20"/>
        </w:rPr>
        <w:t>ranting of moratorium etc. based on an assessment of income streams of the borrower.</w:t>
      </w:r>
    </w:p>
    <w:p w:rsidR="004F7A05" w:rsidRPr="00D922FE" w:rsidRDefault="00F20BB4" w:rsidP="00982F3C">
      <w:pPr>
        <w:pStyle w:val="NormalWeb"/>
        <w:shd w:val="clear" w:color="auto" w:fill="FFFFFF"/>
        <w:spacing w:line="360" w:lineRule="auto"/>
        <w:jc w:val="both"/>
        <w:rPr>
          <w:rFonts w:ascii="MS Reference Sans Serif" w:hAnsi="MS Reference Sans Serif" w:cs="Arial"/>
          <w:b/>
          <w:color w:val="000000"/>
          <w:sz w:val="20"/>
          <w:szCs w:val="20"/>
        </w:rPr>
      </w:pPr>
      <w:r w:rsidRPr="00D922FE">
        <w:rPr>
          <w:rFonts w:ascii="MS Reference Sans Serif" w:hAnsi="MS Reference Sans Serif" w:cs="Arial"/>
          <w:b/>
          <w:color w:val="000000"/>
          <w:sz w:val="20"/>
          <w:szCs w:val="20"/>
        </w:rPr>
        <w:t xml:space="preserve">Moratorium Period: </w:t>
      </w:r>
      <w:r w:rsidRPr="00D922FE">
        <w:rPr>
          <w:rFonts w:ascii="MS Reference Sans Serif" w:hAnsi="MS Reference Sans Serif" w:cs="Arial"/>
          <w:color w:val="000000"/>
          <w:sz w:val="20"/>
          <w:szCs w:val="20"/>
        </w:rPr>
        <w:t xml:space="preserve">Maximum </w:t>
      </w:r>
      <w:r w:rsidR="004F7A05" w:rsidRPr="00D922FE">
        <w:rPr>
          <w:rFonts w:ascii="MS Reference Sans Serif" w:hAnsi="MS Reference Sans Serif" w:cs="Arial"/>
          <w:color w:val="000000"/>
          <w:sz w:val="20"/>
          <w:szCs w:val="20"/>
        </w:rPr>
        <w:t xml:space="preserve">period </w:t>
      </w:r>
      <w:r w:rsidRPr="00D922FE">
        <w:rPr>
          <w:rFonts w:ascii="MS Reference Sans Serif" w:hAnsi="MS Reference Sans Serif" w:cs="Arial"/>
          <w:color w:val="000000"/>
          <w:sz w:val="20"/>
          <w:szCs w:val="20"/>
        </w:rPr>
        <w:t>two years</w:t>
      </w:r>
      <w:r w:rsidR="00982F3C" w:rsidRPr="00D922FE">
        <w:rPr>
          <w:rFonts w:ascii="MS Reference Sans Serif" w:hAnsi="MS Reference Sans Serif" w:cs="Arial"/>
          <w:color w:val="000000"/>
          <w:sz w:val="20"/>
          <w:szCs w:val="20"/>
        </w:rPr>
        <w:t xml:space="preserve"> inclusive of moratorium period if any</w:t>
      </w:r>
      <w:r w:rsidR="004F7A05" w:rsidRPr="00D922FE">
        <w:rPr>
          <w:rFonts w:ascii="MS Reference Sans Serif" w:hAnsi="MS Reference Sans Serif" w:cs="Arial"/>
          <w:color w:val="000000"/>
          <w:sz w:val="20"/>
          <w:szCs w:val="20"/>
        </w:rPr>
        <w:t xml:space="preserve">. </w:t>
      </w:r>
    </w:p>
    <w:p w:rsidR="00982F3C" w:rsidRPr="00D922FE" w:rsidRDefault="004F7A05"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b/>
          <w:color w:val="000000"/>
          <w:sz w:val="20"/>
          <w:szCs w:val="20"/>
        </w:rPr>
        <w:t>Period of implementation Plan:</w:t>
      </w:r>
      <w:r w:rsidRPr="00D922FE">
        <w:rPr>
          <w:rFonts w:ascii="MS Reference Sans Serif" w:hAnsi="MS Reference Sans Serif" w:cs="Arial"/>
          <w:color w:val="000000"/>
          <w:sz w:val="20"/>
          <w:szCs w:val="20"/>
        </w:rPr>
        <w:t xml:space="preserve"> Ninety days from the </w:t>
      </w:r>
      <w:r w:rsidR="00982F3C" w:rsidRPr="00D922FE">
        <w:rPr>
          <w:rFonts w:ascii="MS Reference Sans Serif" w:hAnsi="MS Reference Sans Serif" w:cs="Arial"/>
          <w:color w:val="000000"/>
          <w:sz w:val="20"/>
          <w:szCs w:val="20"/>
        </w:rPr>
        <w:t>date of invocation</w:t>
      </w:r>
      <w:r w:rsidRPr="00D922FE">
        <w:rPr>
          <w:rFonts w:ascii="MS Reference Sans Serif" w:hAnsi="MS Reference Sans Serif" w:cs="Arial"/>
          <w:color w:val="000000"/>
          <w:sz w:val="20"/>
          <w:szCs w:val="20"/>
        </w:rPr>
        <w:t>.</w:t>
      </w:r>
    </w:p>
    <w:p w:rsidR="00982F3C" w:rsidRPr="00D922FE" w:rsidRDefault="00B2579E" w:rsidP="00982F3C">
      <w:pPr>
        <w:pStyle w:val="head"/>
        <w:shd w:val="clear" w:color="auto" w:fill="FFFFFF"/>
        <w:spacing w:line="360" w:lineRule="auto"/>
        <w:jc w:val="both"/>
        <w:rPr>
          <w:rFonts w:ascii="MS Reference Sans Serif" w:hAnsi="MS Reference Sans Serif" w:cs="Arial"/>
          <w:b/>
          <w:bCs/>
          <w:color w:val="000000"/>
          <w:sz w:val="20"/>
          <w:szCs w:val="20"/>
        </w:rPr>
      </w:pPr>
      <w:r w:rsidRPr="00D922FE">
        <w:rPr>
          <w:rFonts w:ascii="MS Reference Sans Serif" w:hAnsi="MS Reference Sans Serif" w:cs="Arial"/>
          <w:b/>
          <w:bCs/>
          <w:color w:val="000000"/>
          <w:sz w:val="20"/>
          <w:szCs w:val="20"/>
        </w:rPr>
        <w:t>E.</w:t>
      </w:r>
      <w:r w:rsidRPr="00D922FE">
        <w:rPr>
          <w:rFonts w:ascii="MS Reference Sans Serif" w:hAnsi="MS Reference Sans Serif" w:cs="Arial"/>
          <w:b/>
          <w:bCs/>
          <w:color w:val="000000"/>
          <w:sz w:val="20"/>
          <w:szCs w:val="20"/>
        </w:rPr>
        <w:tab/>
      </w:r>
      <w:r w:rsidR="00982F3C" w:rsidRPr="00D922FE">
        <w:rPr>
          <w:rFonts w:ascii="MS Reference Sans Serif" w:hAnsi="MS Reference Sans Serif" w:cs="Arial"/>
          <w:b/>
          <w:bCs/>
          <w:color w:val="000000"/>
          <w:sz w:val="20"/>
          <w:szCs w:val="20"/>
        </w:rPr>
        <w:t>Asset classification and provisioning</w:t>
      </w:r>
    </w:p>
    <w:p w:rsidR="00982F3C" w:rsidRPr="00D922FE" w:rsidRDefault="004F7A05" w:rsidP="004F7A05">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b/>
          <w:color w:val="000000"/>
          <w:sz w:val="20"/>
          <w:szCs w:val="20"/>
        </w:rPr>
        <w:t>Asset Classification:</w:t>
      </w:r>
      <w:r w:rsidRPr="00D922FE">
        <w:rPr>
          <w:rFonts w:ascii="MS Reference Sans Serif" w:hAnsi="MS Reference Sans Serif" w:cs="Arial"/>
          <w:color w:val="000000"/>
          <w:sz w:val="20"/>
          <w:szCs w:val="20"/>
        </w:rPr>
        <w:t xml:space="preserve"> The Account is treated as Standard.</w:t>
      </w:r>
    </w:p>
    <w:p w:rsidR="00982F3C" w:rsidRPr="00D922FE" w:rsidRDefault="004F7A05" w:rsidP="00982F3C">
      <w:pPr>
        <w:pStyle w:val="NormalWeb"/>
        <w:shd w:val="clear" w:color="auto" w:fill="FFFFFF"/>
        <w:spacing w:line="360" w:lineRule="auto"/>
        <w:jc w:val="both"/>
        <w:rPr>
          <w:rFonts w:ascii="MS Reference Sans Serif" w:hAnsi="MS Reference Sans Serif" w:cs="Arial"/>
          <w:color w:val="000000"/>
          <w:sz w:val="20"/>
          <w:szCs w:val="20"/>
        </w:rPr>
      </w:pPr>
      <w:proofErr w:type="gramStart"/>
      <w:r w:rsidRPr="00D922FE">
        <w:rPr>
          <w:rFonts w:ascii="MS Reference Sans Serif" w:hAnsi="MS Reference Sans Serif" w:cs="Arial"/>
          <w:b/>
          <w:color w:val="000000"/>
          <w:sz w:val="20"/>
          <w:szCs w:val="20"/>
        </w:rPr>
        <w:t>Provisioning:</w:t>
      </w:r>
      <w:r w:rsidRPr="00D922FE">
        <w:rPr>
          <w:rFonts w:ascii="MS Reference Sans Serif" w:hAnsi="MS Reference Sans Serif" w:cs="Arial"/>
          <w:color w:val="000000"/>
          <w:sz w:val="20"/>
          <w:szCs w:val="20"/>
        </w:rPr>
        <w:t xml:space="preserve"> </w:t>
      </w:r>
      <w:r w:rsidR="00982F3C" w:rsidRPr="00D922FE">
        <w:rPr>
          <w:rFonts w:ascii="MS Reference Sans Serif" w:hAnsi="MS Reference Sans Serif" w:cs="Arial"/>
          <w:color w:val="000000"/>
          <w:sz w:val="20"/>
          <w:szCs w:val="20"/>
        </w:rPr>
        <w:t>10 percent of the renegotiated debt exposure</w:t>
      </w:r>
      <w:r w:rsidRPr="00D922FE">
        <w:rPr>
          <w:rFonts w:ascii="MS Reference Sans Serif" w:hAnsi="MS Reference Sans Serif" w:cs="Arial"/>
          <w:color w:val="000000"/>
          <w:sz w:val="20"/>
          <w:szCs w:val="20"/>
        </w:rPr>
        <w:t>.</w:t>
      </w:r>
      <w:proofErr w:type="gramEnd"/>
      <w:r w:rsidRPr="00D922FE">
        <w:rPr>
          <w:rFonts w:ascii="MS Reference Sans Serif" w:hAnsi="MS Reference Sans Serif" w:cs="Arial"/>
          <w:color w:val="000000"/>
          <w:sz w:val="20"/>
          <w:szCs w:val="20"/>
        </w:rPr>
        <w:t xml:space="preserve"> Half </w:t>
      </w:r>
      <w:r w:rsidR="00982F3C" w:rsidRPr="00D922FE">
        <w:rPr>
          <w:rFonts w:ascii="MS Reference Sans Serif" w:hAnsi="MS Reference Sans Serif" w:cs="Arial"/>
          <w:color w:val="000000"/>
          <w:sz w:val="20"/>
          <w:szCs w:val="20"/>
        </w:rPr>
        <w:t>of th</w:t>
      </w:r>
      <w:r w:rsidR="00F4078A" w:rsidRPr="00D922FE">
        <w:rPr>
          <w:rFonts w:ascii="MS Reference Sans Serif" w:hAnsi="MS Reference Sans Serif" w:cs="Arial"/>
          <w:color w:val="000000"/>
          <w:sz w:val="20"/>
          <w:szCs w:val="20"/>
        </w:rPr>
        <w:t xml:space="preserve">e </w:t>
      </w:r>
      <w:r w:rsidR="00982F3C" w:rsidRPr="00D922FE">
        <w:rPr>
          <w:rFonts w:ascii="MS Reference Sans Serif" w:hAnsi="MS Reference Sans Serif" w:cs="Arial"/>
          <w:color w:val="000000"/>
          <w:sz w:val="20"/>
          <w:szCs w:val="20"/>
        </w:rPr>
        <w:t>provision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982F3C" w:rsidRPr="00D922FE" w:rsidRDefault="00982F3C"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982F3C" w:rsidRPr="00D922FE" w:rsidRDefault="00982F3C" w:rsidP="00982F3C">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lastRenderedPageBreak/>
        <w:t xml:space="preserve">The provisions required to be maintained under this </w:t>
      </w:r>
      <w:r w:rsidR="00B2579E" w:rsidRPr="00D922FE">
        <w:rPr>
          <w:rFonts w:ascii="MS Reference Sans Serif" w:hAnsi="MS Reference Sans Serif" w:cs="Arial"/>
          <w:color w:val="000000"/>
          <w:sz w:val="20"/>
          <w:szCs w:val="20"/>
        </w:rPr>
        <w:t>policy</w:t>
      </w:r>
      <w:r w:rsidRPr="00D922FE">
        <w:rPr>
          <w:rFonts w:ascii="MS Reference Sans Serif" w:hAnsi="MS Reference Sans Serif" w:cs="Arial"/>
          <w:color w:val="000000"/>
          <w:sz w:val="20"/>
          <w:szCs w:val="20"/>
        </w:rPr>
        <w:t>, to the extent not already reversed, shall be available for the provisioning requirements when any of the accounts, where a resolution plan had been implemented, is subsequently classified as NPA.</w:t>
      </w:r>
    </w:p>
    <w:p w:rsidR="00982F3C" w:rsidRDefault="007F46E2" w:rsidP="00B2579E">
      <w:pPr>
        <w:pStyle w:val="NormalWeb"/>
        <w:shd w:val="clear" w:color="auto" w:fill="FFFFFF"/>
        <w:spacing w:line="360" w:lineRule="auto"/>
        <w:jc w:val="both"/>
        <w:rPr>
          <w:rFonts w:ascii="MS Reference Sans Serif" w:hAnsi="MS Reference Sans Serif" w:cs="Arial"/>
          <w:color w:val="000000"/>
          <w:sz w:val="20"/>
          <w:szCs w:val="20"/>
        </w:rPr>
      </w:pPr>
      <w:r w:rsidRPr="00D922FE">
        <w:rPr>
          <w:rFonts w:ascii="MS Reference Sans Serif" w:hAnsi="MS Reference Sans Serif" w:cs="Arial"/>
          <w:color w:val="000000"/>
          <w:sz w:val="20"/>
          <w:szCs w:val="20"/>
        </w:rPr>
        <w:t>For further details and reporting format please see the RBI’s MC on Resolution Framework – 2.0: Resolution of Covid-19 related stress of Individuals and Small Businesses (DOR.STR.REC.11/21.04.048/2021-22) dated May 5, 2021.</w:t>
      </w:r>
      <w:r w:rsidR="00062FA2" w:rsidRPr="00D922FE">
        <w:rPr>
          <w:rFonts w:ascii="MS Reference Sans Serif" w:hAnsi="MS Reference Sans Serif" w:cs="Arial"/>
          <w:color w:val="000000"/>
          <w:sz w:val="20"/>
          <w:szCs w:val="20"/>
        </w:rPr>
        <w:t xml:space="preserve"> </w:t>
      </w:r>
    </w:p>
    <w:p w:rsidR="00D922FE" w:rsidRPr="00D922FE" w:rsidRDefault="00D922FE" w:rsidP="00D922FE">
      <w:pPr>
        <w:pStyle w:val="NormalWeb"/>
        <w:shd w:val="clear" w:color="auto" w:fill="FFFFFF"/>
        <w:spacing w:line="360" w:lineRule="auto"/>
        <w:jc w:val="center"/>
        <w:rPr>
          <w:rFonts w:ascii="MS Reference Sans Serif" w:hAnsi="MS Reference Sans Serif" w:cs="Arial"/>
          <w:color w:val="000000"/>
          <w:sz w:val="20"/>
          <w:szCs w:val="20"/>
        </w:rPr>
      </w:pPr>
      <w:r>
        <w:rPr>
          <w:rFonts w:ascii="MS Reference Sans Serif" w:hAnsi="MS Reference Sans Serif" w:cs="Arial"/>
          <w:color w:val="000000"/>
          <w:sz w:val="20"/>
          <w:szCs w:val="20"/>
        </w:rPr>
        <w:t>(Approved as per Board Resolution No. 07/02/21-22 dated 31/05/2021)</w:t>
      </w:r>
    </w:p>
    <w:p w:rsidR="00D21508" w:rsidRPr="00D922FE" w:rsidRDefault="00D21508" w:rsidP="00B2579E">
      <w:pPr>
        <w:pStyle w:val="NormalWeb"/>
        <w:shd w:val="clear" w:color="auto" w:fill="FFFFFF"/>
        <w:spacing w:line="360" w:lineRule="auto"/>
        <w:jc w:val="both"/>
        <w:rPr>
          <w:rFonts w:ascii="MS Reference Sans Serif" w:hAnsi="MS Reference Sans Serif" w:cs="Arial"/>
          <w:color w:val="000000"/>
          <w:sz w:val="20"/>
          <w:szCs w:val="20"/>
        </w:rPr>
      </w:pPr>
    </w:p>
    <w:sectPr w:rsidR="00D21508" w:rsidRPr="00D922FE" w:rsidSect="00D215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BB5"/>
    <w:multiLevelType w:val="multilevel"/>
    <w:tmpl w:val="A31A9BE6"/>
    <w:lvl w:ilvl="0">
      <w:start w:val="1"/>
      <w:numFmt w:val="decimal"/>
      <w:lvlText w:val="%1."/>
      <w:lvlJc w:val="left"/>
      <w:pPr>
        <w:tabs>
          <w:tab w:val="num" w:pos="2160"/>
        </w:tabs>
        <w:ind w:left="2160" w:hanging="360"/>
      </w:pPr>
      <w:rPr>
        <w:rFonts w:ascii="Arial" w:eastAsia="Times New Roman" w:hAnsi="Arial" w:cs="Arial"/>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
    <w:nsid w:val="3B8D4042"/>
    <w:multiLevelType w:val="hybridMultilevel"/>
    <w:tmpl w:val="AD541B9C"/>
    <w:lvl w:ilvl="0" w:tplc="DCE85E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7E5855"/>
    <w:multiLevelType w:val="hybridMultilevel"/>
    <w:tmpl w:val="71F8B35A"/>
    <w:lvl w:ilvl="0" w:tplc="D8A6EA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4F0235"/>
    <w:multiLevelType w:val="hybridMultilevel"/>
    <w:tmpl w:val="68E4521A"/>
    <w:lvl w:ilvl="0" w:tplc="660EAA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F3C"/>
    <w:rsid w:val="00062FA2"/>
    <w:rsid w:val="00063EF3"/>
    <w:rsid w:val="001A1AD1"/>
    <w:rsid w:val="002D0DDA"/>
    <w:rsid w:val="004F7A05"/>
    <w:rsid w:val="005B017C"/>
    <w:rsid w:val="007E47C3"/>
    <w:rsid w:val="007F46E2"/>
    <w:rsid w:val="0086207C"/>
    <w:rsid w:val="008D5B65"/>
    <w:rsid w:val="00982F3C"/>
    <w:rsid w:val="00B2579E"/>
    <w:rsid w:val="00D21508"/>
    <w:rsid w:val="00D922FE"/>
    <w:rsid w:val="00E678F1"/>
    <w:rsid w:val="00F20BB4"/>
    <w:rsid w:val="00F4078A"/>
    <w:rsid w:val="00F96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982F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82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2F3C"/>
    <w:rPr>
      <w:color w:val="0000FF"/>
      <w:u w:val="single"/>
    </w:rPr>
  </w:style>
  <w:style w:type="character" w:customStyle="1" w:styleId="head1">
    <w:name w:val="head1"/>
    <w:basedOn w:val="DefaultParagraphFont"/>
    <w:rsid w:val="00982F3C"/>
  </w:style>
  <w:style w:type="character" w:styleId="Strong">
    <w:name w:val="Strong"/>
    <w:basedOn w:val="DefaultParagraphFont"/>
    <w:uiPriority w:val="22"/>
    <w:qFormat/>
    <w:rsid w:val="00982F3C"/>
    <w:rPr>
      <w:b/>
      <w:bCs/>
    </w:rPr>
  </w:style>
</w:styles>
</file>

<file path=word/webSettings.xml><?xml version="1.0" encoding="utf-8"?>
<w:webSettings xmlns:r="http://schemas.openxmlformats.org/officeDocument/2006/relationships" xmlns:w="http://schemas.openxmlformats.org/wordprocessingml/2006/main">
  <w:divs>
    <w:div w:id="1188446436">
      <w:bodyDiv w:val="1"/>
      <w:marLeft w:val="0"/>
      <w:marRight w:val="0"/>
      <w:marTop w:val="0"/>
      <w:marBottom w:val="0"/>
      <w:divBdr>
        <w:top w:val="none" w:sz="0" w:space="0" w:color="auto"/>
        <w:left w:val="none" w:sz="0" w:space="0" w:color="auto"/>
        <w:bottom w:val="none" w:sz="0" w:space="0" w:color="auto"/>
        <w:right w:val="none" w:sz="0" w:space="0" w:color="auto"/>
      </w:divBdr>
    </w:div>
    <w:div w:id="17343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HO8</cp:lastModifiedBy>
  <cp:revision>3</cp:revision>
  <dcterms:created xsi:type="dcterms:W3CDTF">2021-05-11T08:28:00Z</dcterms:created>
  <dcterms:modified xsi:type="dcterms:W3CDTF">2021-09-02T04:03:00Z</dcterms:modified>
</cp:coreProperties>
</file>